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27" w:rsidRDefault="000C0293" w:rsidP="00FC50A5">
      <w:pPr>
        <w:pStyle w:val="Defaul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125730</wp:posOffset>
                </wp:positionV>
                <wp:extent cx="5269230" cy="704215"/>
                <wp:effectExtent l="19050" t="17780" r="1714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369" w:rsidRDefault="00F50369" w:rsidP="00F5036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181F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Office of Regulatory Research Compliance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(ORRC)</w:t>
                            </w:r>
                          </w:p>
                          <w:p w:rsidR="00F50369" w:rsidRPr="00873FAD" w:rsidRDefault="00F50369" w:rsidP="00F5036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D181F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Howard University Laboratory Biosafety Level 1 Checklist</w:t>
                            </w:r>
                          </w:p>
                          <w:p w:rsidR="00D609AA" w:rsidRPr="00D609AA" w:rsidRDefault="00D609A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1pt;margin-top:9.9pt;width:414.9pt;height:55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" strokeweight="2pt">
                <v:textbox>
                  <w:txbxContent>
                    <w:p w:rsidR="00F50369" w:rsidRDefault="00F50369" w:rsidP="00F5036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FD181F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Office of Regulatory Research Compliance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(ORRC)</w:t>
                      </w:r>
                    </w:p>
                    <w:p w:rsidR="00F50369" w:rsidRPr="00873FAD" w:rsidRDefault="00F50369" w:rsidP="00F5036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FD181F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Howard University Laboratory Biosafety Level 1 Checklist</w:t>
                      </w:r>
                    </w:p>
                    <w:p w:rsidR="00D609AA" w:rsidRPr="00D609AA" w:rsidRDefault="00D609AA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D0408">
        <w:rPr>
          <w:noProof/>
        </w:rPr>
        <w:drawing>
          <wp:inline distT="0" distB="0" distL="0" distR="0">
            <wp:extent cx="781050" cy="885825"/>
            <wp:effectExtent l="0" t="0" r="0" b="0"/>
            <wp:docPr id="1" name="Picture 4" descr="https://encrypted-tbn3.gstatic.com/images?q=tbn:ANd9GcSlMbvJZ2p6iSkjcYr2JtnV50D1oN-Etc4o0j5LbUTXICWOR3P5ub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SlMbvJZ2p6iSkjcYr2JtnV50D1oN-Etc4o0j5LbUTXICWOR3P5ubx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027" w:rsidRDefault="00C64027" w:rsidP="00FC50A5">
      <w:pPr>
        <w:pStyle w:val="Default"/>
        <w:rPr>
          <w:sz w:val="22"/>
          <w:szCs w:val="22"/>
        </w:rPr>
      </w:pPr>
    </w:p>
    <w:p w:rsidR="00FC50A5" w:rsidRPr="00A65144" w:rsidRDefault="00FD4DAA" w:rsidP="00FC50A5">
      <w:pPr>
        <w:pStyle w:val="Default"/>
        <w:rPr>
          <w:sz w:val="22"/>
          <w:szCs w:val="22"/>
        </w:rPr>
      </w:pPr>
      <w:r w:rsidRPr="00A65144">
        <w:rPr>
          <w:sz w:val="22"/>
          <w:szCs w:val="22"/>
        </w:rPr>
        <w:t>Biosafety Level 1 laboratory is suitable for work that involves well-characterized agents not known to cause diseases in immunocompromised adult human</w:t>
      </w:r>
      <w:r w:rsidR="00426962" w:rsidRPr="00A65144">
        <w:rPr>
          <w:sz w:val="22"/>
          <w:szCs w:val="22"/>
        </w:rPr>
        <w:t>s</w:t>
      </w:r>
      <w:r w:rsidRPr="00A65144">
        <w:rPr>
          <w:sz w:val="22"/>
          <w:szCs w:val="22"/>
        </w:rPr>
        <w:t xml:space="preserve">.  </w:t>
      </w:r>
      <w:r w:rsidR="00FC50A5" w:rsidRPr="00A65144">
        <w:rPr>
          <w:sz w:val="22"/>
          <w:szCs w:val="22"/>
        </w:rPr>
        <w:t xml:space="preserve">The checklist is based on </w:t>
      </w:r>
      <w:r w:rsidR="00FC50A5" w:rsidRPr="00A65144">
        <w:rPr>
          <w:i/>
          <w:sz w:val="22"/>
          <w:szCs w:val="22"/>
        </w:rPr>
        <w:t>Biosafety in Microbiological and Biomedical Laboratories, 5</w:t>
      </w:r>
      <w:r w:rsidR="00FC50A5" w:rsidRPr="00A65144">
        <w:rPr>
          <w:i/>
          <w:sz w:val="22"/>
          <w:szCs w:val="22"/>
          <w:vertAlign w:val="superscript"/>
        </w:rPr>
        <w:t>th</w:t>
      </w:r>
      <w:r w:rsidR="00FC50A5" w:rsidRPr="00A65144">
        <w:rPr>
          <w:i/>
          <w:sz w:val="22"/>
          <w:szCs w:val="22"/>
        </w:rPr>
        <w:t xml:space="preserve"> edition, 2007</w:t>
      </w:r>
      <w:r w:rsidR="00FC50A5" w:rsidRPr="00A65144">
        <w:rPr>
          <w:sz w:val="22"/>
          <w:szCs w:val="22"/>
        </w:rPr>
        <w:t xml:space="preserve"> and </w:t>
      </w:r>
      <w:r w:rsidR="00FC50A5" w:rsidRPr="00A65144">
        <w:rPr>
          <w:bCs/>
          <w:i/>
          <w:sz w:val="22"/>
          <w:szCs w:val="22"/>
        </w:rPr>
        <w:t>NIH Guidelines for Research Involving Recombinant DNA Molecu</w:t>
      </w:r>
      <w:r w:rsidR="00375705" w:rsidRPr="00A65144">
        <w:rPr>
          <w:bCs/>
          <w:i/>
          <w:sz w:val="22"/>
          <w:szCs w:val="22"/>
        </w:rPr>
        <w:t>les (NIH Guidelines), Appendix G</w:t>
      </w:r>
      <w:r w:rsidR="00FC50A5" w:rsidRPr="00A65144">
        <w:rPr>
          <w:bCs/>
          <w:i/>
          <w:sz w:val="22"/>
          <w:szCs w:val="22"/>
        </w:rPr>
        <w:t>, September 2009</w:t>
      </w:r>
      <w:r w:rsidR="00FC50A5" w:rsidRPr="00A65144">
        <w:rPr>
          <w:bCs/>
          <w:sz w:val="22"/>
          <w:szCs w:val="22"/>
        </w:rPr>
        <w:t xml:space="preserve">.   </w:t>
      </w:r>
      <w:r w:rsidR="00FC50A5" w:rsidRPr="00A65144">
        <w:rPr>
          <w:sz w:val="22"/>
          <w:szCs w:val="22"/>
        </w:rPr>
        <w:t xml:space="preserve">Check each statement that are complied and make explanation and comment that are unchecked.  This list can be used for self-assessment and is a part of review completed by the Institutional Biosafety Committee. </w:t>
      </w:r>
    </w:p>
    <w:p w:rsidR="00FC50A5" w:rsidRDefault="00FC50A5" w:rsidP="00FC50A5">
      <w:pPr>
        <w:spacing w:after="0"/>
        <w:rPr>
          <w:rFonts w:ascii="Arial" w:hAnsi="Arial" w:cs="Arial"/>
          <w:bCs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2432"/>
        <w:gridCol w:w="2626"/>
        <w:gridCol w:w="2790"/>
      </w:tblGrid>
      <w:tr w:rsidR="00B13A56" w:rsidRPr="000D25CF" w:rsidTr="00162F36">
        <w:tc>
          <w:tcPr>
            <w:tcW w:w="2610" w:type="dxa"/>
            <w:shd w:val="clear" w:color="auto" w:fill="auto"/>
          </w:tcPr>
          <w:p w:rsidR="00B13A56" w:rsidRPr="00162F36" w:rsidRDefault="00FD181F" w:rsidP="000D25C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62F36">
              <w:rPr>
                <w:rFonts w:ascii="Arial" w:hAnsi="Arial" w:cs="Arial"/>
                <w:b/>
                <w:bCs/>
              </w:rPr>
              <w:t>P.I. Name</w:t>
            </w:r>
          </w:p>
        </w:tc>
        <w:tc>
          <w:tcPr>
            <w:tcW w:w="2432" w:type="dxa"/>
            <w:shd w:val="clear" w:color="auto" w:fill="auto"/>
          </w:tcPr>
          <w:p w:rsidR="00B13A56" w:rsidRPr="000D25CF" w:rsidRDefault="00B13A56" w:rsidP="000D25CF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626" w:type="dxa"/>
            <w:shd w:val="clear" w:color="auto" w:fill="auto"/>
          </w:tcPr>
          <w:p w:rsidR="00B13A56" w:rsidRPr="00162F36" w:rsidRDefault="00FD181F" w:rsidP="000D25C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62F36">
              <w:rPr>
                <w:rFonts w:ascii="Arial" w:hAnsi="Arial" w:cs="Arial"/>
                <w:b/>
                <w:bCs/>
              </w:rPr>
              <w:t>Department</w:t>
            </w:r>
          </w:p>
        </w:tc>
        <w:tc>
          <w:tcPr>
            <w:tcW w:w="2790" w:type="dxa"/>
            <w:shd w:val="clear" w:color="auto" w:fill="auto"/>
          </w:tcPr>
          <w:p w:rsidR="00B13A56" w:rsidRPr="000D25CF" w:rsidRDefault="00B13A56" w:rsidP="000D25CF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B13A56" w:rsidRPr="000D25CF" w:rsidTr="00162F36">
        <w:tc>
          <w:tcPr>
            <w:tcW w:w="2610" w:type="dxa"/>
            <w:shd w:val="clear" w:color="auto" w:fill="auto"/>
          </w:tcPr>
          <w:p w:rsidR="00B13A56" w:rsidRPr="00162F36" w:rsidRDefault="00FD181F" w:rsidP="000D25C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62F36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2432" w:type="dxa"/>
            <w:shd w:val="clear" w:color="auto" w:fill="auto"/>
          </w:tcPr>
          <w:p w:rsidR="00B13A56" w:rsidRPr="000D25CF" w:rsidRDefault="00B13A56" w:rsidP="000D25CF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626" w:type="dxa"/>
            <w:shd w:val="clear" w:color="auto" w:fill="auto"/>
          </w:tcPr>
          <w:p w:rsidR="00B13A56" w:rsidRPr="00162F36" w:rsidRDefault="00FD181F" w:rsidP="000D25C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62F36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2790" w:type="dxa"/>
            <w:shd w:val="clear" w:color="auto" w:fill="auto"/>
          </w:tcPr>
          <w:p w:rsidR="00B13A56" w:rsidRPr="000D25CF" w:rsidRDefault="00B13A56" w:rsidP="000D25CF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FD181F" w:rsidRPr="000D25CF" w:rsidTr="00162F36">
        <w:tc>
          <w:tcPr>
            <w:tcW w:w="5042" w:type="dxa"/>
            <w:gridSpan w:val="2"/>
            <w:shd w:val="clear" w:color="auto" w:fill="auto"/>
          </w:tcPr>
          <w:p w:rsidR="00FD181F" w:rsidRPr="00162F36" w:rsidRDefault="00FD181F" w:rsidP="000D25C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62F36">
              <w:rPr>
                <w:rFonts w:ascii="Arial" w:hAnsi="Arial" w:cs="Arial"/>
                <w:b/>
                <w:bCs/>
              </w:rPr>
              <w:t>Lab Location</w:t>
            </w:r>
          </w:p>
        </w:tc>
        <w:tc>
          <w:tcPr>
            <w:tcW w:w="5416" w:type="dxa"/>
            <w:gridSpan w:val="2"/>
            <w:shd w:val="clear" w:color="auto" w:fill="auto"/>
          </w:tcPr>
          <w:p w:rsidR="00FD181F" w:rsidRPr="000D25CF" w:rsidRDefault="00FD181F" w:rsidP="000D25CF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FD181F" w:rsidRPr="000D25CF" w:rsidTr="00162F36">
        <w:tc>
          <w:tcPr>
            <w:tcW w:w="5042" w:type="dxa"/>
            <w:gridSpan w:val="2"/>
            <w:shd w:val="clear" w:color="auto" w:fill="auto"/>
          </w:tcPr>
          <w:p w:rsidR="00FD181F" w:rsidRPr="00162F36" w:rsidRDefault="00FD181F" w:rsidP="000D25C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62F36">
              <w:rPr>
                <w:rFonts w:ascii="Arial" w:hAnsi="Arial" w:cs="Arial"/>
                <w:b/>
                <w:bCs/>
              </w:rPr>
              <w:t>Phone</w:t>
            </w:r>
          </w:p>
        </w:tc>
        <w:tc>
          <w:tcPr>
            <w:tcW w:w="5416" w:type="dxa"/>
            <w:gridSpan w:val="2"/>
            <w:shd w:val="clear" w:color="auto" w:fill="auto"/>
          </w:tcPr>
          <w:p w:rsidR="00FD181F" w:rsidRPr="000D25CF" w:rsidRDefault="00FD181F" w:rsidP="000D25CF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FD181F" w:rsidRPr="000D25CF" w:rsidTr="00162F36">
        <w:tc>
          <w:tcPr>
            <w:tcW w:w="5042" w:type="dxa"/>
            <w:gridSpan w:val="2"/>
            <w:shd w:val="clear" w:color="auto" w:fill="auto"/>
          </w:tcPr>
          <w:p w:rsidR="00FD181F" w:rsidRPr="00162F36" w:rsidRDefault="00FD181F" w:rsidP="000D25C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62F36">
              <w:rPr>
                <w:rFonts w:ascii="Arial" w:hAnsi="Arial" w:cs="Arial"/>
                <w:b/>
                <w:bCs/>
              </w:rPr>
              <w:t>Biological Agents Used/Stored</w:t>
            </w:r>
          </w:p>
        </w:tc>
        <w:tc>
          <w:tcPr>
            <w:tcW w:w="5416" w:type="dxa"/>
            <w:gridSpan w:val="2"/>
            <w:shd w:val="clear" w:color="auto" w:fill="auto"/>
          </w:tcPr>
          <w:p w:rsidR="00FD181F" w:rsidRPr="000D25CF" w:rsidRDefault="00FD181F" w:rsidP="000D25CF">
            <w:pPr>
              <w:spacing w:after="0"/>
              <w:rPr>
                <w:rFonts w:ascii="Arial" w:hAnsi="Arial" w:cs="Arial"/>
                <w:bCs/>
              </w:rPr>
            </w:pPr>
          </w:p>
        </w:tc>
      </w:tr>
    </w:tbl>
    <w:p w:rsidR="00C909B8" w:rsidRPr="00A65144" w:rsidRDefault="00C909B8" w:rsidP="00FC50A5">
      <w:pPr>
        <w:spacing w:after="0"/>
        <w:rPr>
          <w:rFonts w:ascii="Arial" w:hAnsi="Arial" w:cs="Arial"/>
          <w:bCs/>
        </w:rPr>
      </w:pPr>
    </w:p>
    <w:tbl>
      <w:tblPr>
        <w:tblpPr w:leftFromText="180" w:rightFromText="180" w:vertAnchor="text" w:tblpY="1"/>
        <w:tblOverlap w:val="never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68"/>
        <w:gridCol w:w="9476"/>
      </w:tblGrid>
      <w:tr w:rsidR="00B42709" w:rsidRPr="00A65144" w:rsidTr="00A571B7">
        <w:tc>
          <w:tcPr>
            <w:tcW w:w="10440" w:type="dxa"/>
            <w:gridSpan w:val="3"/>
          </w:tcPr>
          <w:p w:rsidR="00B42709" w:rsidRPr="00A65144" w:rsidRDefault="00B42709" w:rsidP="00A920B3">
            <w:pPr>
              <w:spacing w:after="0"/>
              <w:rPr>
                <w:rFonts w:ascii="Arial" w:hAnsi="Arial" w:cs="Arial"/>
              </w:rPr>
            </w:pPr>
            <w:r w:rsidRPr="00A65144">
              <w:rPr>
                <w:rFonts w:ascii="Arial" w:hAnsi="Arial" w:cs="Arial"/>
                <w:b/>
                <w:bCs/>
              </w:rPr>
              <w:t>Biosafety Level 1</w:t>
            </w:r>
          </w:p>
        </w:tc>
      </w:tr>
      <w:tr w:rsidR="00B42709" w:rsidRPr="00A65144" w:rsidTr="00B06A4D">
        <w:tc>
          <w:tcPr>
            <w:tcW w:w="10440" w:type="dxa"/>
            <w:gridSpan w:val="3"/>
          </w:tcPr>
          <w:p w:rsidR="00B42709" w:rsidRPr="00A65144" w:rsidRDefault="00B42709" w:rsidP="00A920B3">
            <w:pPr>
              <w:spacing w:after="0"/>
              <w:rPr>
                <w:rFonts w:ascii="Arial" w:hAnsi="Arial" w:cs="Arial"/>
              </w:rPr>
            </w:pPr>
            <w:r w:rsidRPr="00A65144">
              <w:rPr>
                <w:rFonts w:ascii="Arial" w:hAnsi="Arial" w:cs="Arial"/>
                <w:b/>
                <w:bCs/>
              </w:rPr>
              <w:t>Section 1. Standard Microbiological Practices</w:t>
            </w:r>
          </w:p>
        </w:tc>
      </w:tr>
      <w:tr w:rsidR="00B71ED5" w:rsidRPr="00A65144" w:rsidTr="00B42709">
        <w:sdt>
          <w:sdtPr>
            <w:rPr>
              <w:rFonts w:ascii="Arial" w:hAnsi="Arial" w:cs="Arial"/>
              <w:sz w:val="28"/>
              <w:szCs w:val="28"/>
            </w:rPr>
            <w:id w:val="212496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:rsidR="00B71ED5" w:rsidRPr="00162F36" w:rsidRDefault="00476484" w:rsidP="00A920B3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8" w:type="dxa"/>
          </w:tcPr>
          <w:p w:rsidR="00B71ED5" w:rsidRPr="00A65144" w:rsidRDefault="00B71ED5" w:rsidP="00A920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76" w:type="dxa"/>
          </w:tcPr>
          <w:p w:rsidR="00B71ED5" w:rsidRPr="006A0B91" w:rsidRDefault="00B71ED5" w:rsidP="006A0B91">
            <w:pPr>
              <w:pStyle w:val="Default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>Access to the laboratory is limited or restricted at the discretion of the P.I. when experiments are in progress.</w:t>
            </w:r>
          </w:p>
        </w:tc>
      </w:tr>
      <w:tr w:rsidR="00B71ED5" w:rsidRPr="00A65144" w:rsidTr="00B4270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98920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ED5" w:rsidRPr="00D51DFC" w:rsidRDefault="00476484" w:rsidP="00A920B3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8" w:type="dxa"/>
          </w:tcPr>
          <w:p w:rsidR="00B71ED5" w:rsidRPr="00A65144" w:rsidRDefault="00B71ED5" w:rsidP="00A920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476" w:type="dxa"/>
          </w:tcPr>
          <w:p w:rsidR="00B71ED5" w:rsidRPr="006A0B91" w:rsidRDefault="00B71ED5" w:rsidP="006A0B91">
            <w:pPr>
              <w:pStyle w:val="Default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 xml:space="preserve">Work surfaces are decontaminated once a day after any spill of viable agents. </w:t>
            </w:r>
          </w:p>
        </w:tc>
      </w:tr>
      <w:tr w:rsidR="00B71ED5" w:rsidRPr="00A65144" w:rsidTr="00B4270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425611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ED5" w:rsidRPr="00D51DFC" w:rsidRDefault="009B460D" w:rsidP="00A920B3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8" w:type="dxa"/>
          </w:tcPr>
          <w:p w:rsidR="00B71ED5" w:rsidRPr="00A65144" w:rsidRDefault="00B71ED5" w:rsidP="00A920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476" w:type="dxa"/>
          </w:tcPr>
          <w:p w:rsidR="00B71ED5" w:rsidRPr="00A65144" w:rsidRDefault="00B71ED5" w:rsidP="006A0B91">
            <w:pPr>
              <w:pStyle w:val="Default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>All contaminated liquid or solid wastes are placed in biohazardous bags, autoclaved or decontaminated with suitable</w:t>
            </w:r>
            <w:r>
              <w:rPr>
                <w:sz w:val="22"/>
                <w:szCs w:val="22"/>
              </w:rPr>
              <w:t xml:space="preserve"> disinfectant before disposal. </w:t>
            </w:r>
          </w:p>
        </w:tc>
      </w:tr>
      <w:tr w:rsidR="00B71ED5" w:rsidRPr="00A65144" w:rsidTr="00B4270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688412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ED5" w:rsidRPr="00D51DFC" w:rsidRDefault="009B460D" w:rsidP="00A920B3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8" w:type="dxa"/>
          </w:tcPr>
          <w:p w:rsidR="00B71ED5" w:rsidRPr="00A65144" w:rsidRDefault="00B71ED5" w:rsidP="00A920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76" w:type="dxa"/>
          </w:tcPr>
          <w:p w:rsidR="00B71ED5" w:rsidRPr="006A0B91" w:rsidRDefault="00B71ED5" w:rsidP="006A0B91">
            <w:pPr>
              <w:pStyle w:val="Default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>Contaminated materials that are to be decontaminated are placed in a durable leak-proof container which is closed before being removed from the laboratory.</w:t>
            </w:r>
          </w:p>
        </w:tc>
      </w:tr>
      <w:tr w:rsidR="00B71ED5" w:rsidRPr="00A65144" w:rsidTr="00B4270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233666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ED5" w:rsidRPr="00D51DFC" w:rsidRDefault="009B460D" w:rsidP="00A920B3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8" w:type="dxa"/>
          </w:tcPr>
          <w:p w:rsidR="00B71ED5" w:rsidRPr="00A65144" w:rsidRDefault="00B71ED5" w:rsidP="00A920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476" w:type="dxa"/>
          </w:tcPr>
          <w:p w:rsidR="00B71ED5" w:rsidRPr="006A0B91" w:rsidRDefault="00B71ED5" w:rsidP="006A0B91">
            <w:pPr>
              <w:pStyle w:val="Default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>No mouth pipetting is permitted; mechanical pipetting devices are used.</w:t>
            </w:r>
          </w:p>
        </w:tc>
      </w:tr>
      <w:tr w:rsidR="00B71ED5" w:rsidRPr="00A65144" w:rsidTr="00B4270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86492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ED5" w:rsidRPr="00D51DFC" w:rsidRDefault="009B460D" w:rsidP="00A920B3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8" w:type="dxa"/>
          </w:tcPr>
          <w:p w:rsidR="00B71ED5" w:rsidRPr="00A65144" w:rsidRDefault="00B71ED5" w:rsidP="00A920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476" w:type="dxa"/>
          </w:tcPr>
          <w:p w:rsidR="00B71ED5" w:rsidRPr="00A65144" w:rsidRDefault="00B71ED5" w:rsidP="00A65144">
            <w:pPr>
              <w:pStyle w:val="Default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 xml:space="preserve">No eating, drinking, smoking, handling contact lenses, and applying cosmetics are permitted in the work area.  Food may be stored outside the laboratory in cabinets/refrigerators designated and </w:t>
            </w:r>
            <w:r>
              <w:rPr>
                <w:sz w:val="22"/>
                <w:szCs w:val="22"/>
              </w:rPr>
              <w:t xml:space="preserve">used for this purpose only. </w:t>
            </w:r>
          </w:p>
        </w:tc>
      </w:tr>
      <w:tr w:rsidR="00B71ED5" w:rsidRPr="00A65144" w:rsidTr="00B4270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84421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ED5" w:rsidRPr="00D51DFC" w:rsidRDefault="009B460D" w:rsidP="00A920B3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8" w:type="dxa"/>
          </w:tcPr>
          <w:p w:rsidR="00B71ED5" w:rsidRPr="00A65144" w:rsidRDefault="00B71ED5" w:rsidP="00A920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476" w:type="dxa"/>
          </w:tcPr>
          <w:p w:rsidR="00B71ED5" w:rsidRPr="00A65144" w:rsidRDefault="00B71ED5" w:rsidP="00A65144">
            <w:pPr>
              <w:pStyle w:val="Default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>Wash hands after handling potentially hazardous materials and</w:t>
            </w:r>
            <w:r>
              <w:rPr>
                <w:sz w:val="22"/>
                <w:szCs w:val="22"/>
              </w:rPr>
              <w:t xml:space="preserve"> before leaving the laboratory.</w:t>
            </w:r>
          </w:p>
        </w:tc>
      </w:tr>
      <w:tr w:rsidR="00B71ED5" w:rsidRPr="00A65144" w:rsidTr="00B4270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293481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ED5" w:rsidRPr="00D51DFC" w:rsidRDefault="009B460D" w:rsidP="00A920B3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8" w:type="dxa"/>
          </w:tcPr>
          <w:p w:rsidR="00B71ED5" w:rsidRPr="00A65144" w:rsidRDefault="00B71ED5" w:rsidP="00A920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476" w:type="dxa"/>
          </w:tcPr>
          <w:p w:rsidR="00B71ED5" w:rsidRPr="00A65144" w:rsidRDefault="00B71ED5" w:rsidP="00A65144">
            <w:pPr>
              <w:pStyle w:val="Default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 xml:space="preserve"> All procedures are carefully performed to minimize spla</w:t>
            </w:r>
            <w:r>
              <w:rPr>
                <w:sz w:val="22"/>
                <w:szCs w:val="22"/>
              </w:rPr>
              <w:t xml:space="preserve">shes and creation of aerosols. </w:t>
            </w:r>
          </w:p>
        </w:tc>
      </w:tr>
      <w:tr w:rsidR="00B71ED5" w:rsidRPr="00A65144" w:rsidTr="00B4270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559874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ED5" w:rsidRPr="00D51DFC" w:rsidRDefault="009B460D" w:rsidP="00A920B3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8" w:type="dxa"/>
          </w:tcPr>
          <w:p w:rsidR="00B71ED5" w:rsidRPr="00A65144" w:rsidRDefault="00B71ED5" w:rsidP="00A920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476" w:type="dxa"/>
          </w:tcPr>
          <w:p w:rsidR="00B71ED5" w:rsidRPr="006A0B91" w:rsidRDefault="00B71ED5" w:rsidP="006A0B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5144">
              <w:rPr>
                <w:rFonts w:ascii="Arial" w:hAnsi="Arial" w:cs="Arial"/>
              </w:rPr>
              <w:t>Policies for safe use of needles, sharps and broken glassware a</w:t>
            </w:r>
            <w:r>
              <w:rPr>
                <w:rFonts w:ascii="Arial" w:hAnsi="Arial" w:cs="Arial"/>
              </w:rPr>
              <w:t>re established and implemented.</w:t>
            </w:r>
          </w:p>
        </w:tc>
      </w:tr>
      <w:tr w:rsidR="00B71ED5" w:rsidRPr="00A65144" w:rsidTr="00B4270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272168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ED5" w:rsidRPr="00D51DFC" w:rsidRDefault="009B460D" w:rsidP="00A920B3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8" w:type="dxa"/>
          </w:tcPr>
          <w:p w:rsidR="00B71ED5" w:rsidRPr="00A65144" w:rsidRDefault="00B71ED5" w:rsidP="00A920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476" w:type="dxa"/>
          </w:tcPr>
          <w:p w:rsidR="00B71ED5" w:rsidRPr="00A65144" w:rsidRDefault="00B71ED5" w:rsidP="00A65144">
            <w:pPr>
              <w:pStyle w:val="Default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 xml:space="preserve"> A sign incorporating the universal biohazard symbol are posted at the entrance to the laboratory if infectious agents are present. Posted information must include the name and te</w:t>
            </w:r>
            <w:r>
              <w:rPr>
                <w:sz w:val="22"/>
                <w:szCs w:val="22"/>
              </w:rPr>
              <w:t xml:space="preserve">lephone number of supervisor.  </w:t>
            </w:r>
          </w:p>
        </w:tc>
      </w:tr>
    </w:tbl>
    <w:p w:rsidR="00873FAD" w:rsidRDefault="00873FAD" w:rsidP="00FC50A5">
      <w:pPr>
        <w:spacing w:after="0"/>
        <w:rPr>
          <w:rFonts w:ascii="Arial" w:hAnsi="Arial" w:cs="Arial"/>
          <w:b/>
          <w:bCs/>
        </w:rPr>
      </w:pPr>
    </w:p>
    <w:p w:rsidR="00D51DFC" w:rsidRDefault="00D51DFC" w:rsidP="00FC50A5">
      <w:pPr>
        <w:spacing w:after="0"/>
        <w:rPr>
          <w:rFonts w:ascii="Arial" w:hAnsi="Arial" w:cs="Arial"/>
          <w:b/>
          <w:bCs/>
        </w:rPr>
      </w:pPr>
    </w:p>
    <w:p w:rsidR="00D51DFC" w:rsidRDefault="00D51DFC" w:rsidP="00FC50A5">
      <w:pPr>
        <w:spacing w:after="0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Y="181"/>
        <w:tblOverlap w:val="never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62"/>
        <w:gridCol w:w="9482"/>
      </w:tblGrid>
      <w:tr w:rsidR="009F2139" w:rsidRPr="00A65144" w:rsidTr="002E59BA">
        <w:tc>
          <w:tcPr>
            <w:tcW w:w="10440" w:type="dxa"/>
            <w:gridSpan w:val="3"/>
          </w:tcPr>
          <w:p w:rsidR="009F2139" w:rsidRPr="00A65144" w:rsidRDefault="009F2139" w:rsidP="00162F3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65144">
              <w:rPr>
                <w:b/>
                <w:bCs/>
                <w:sz w:val="22"/>
                <w:szCs w:val="22"/>
              </w:rPr>
              <w:t>Section 2. Special Practices: None</w:t>
            </w:r>
          </w:p>
        </w:tc>
      </w:tr>
      <w:tr w:rsidR="009F2139" w:rsidRPr="00A65144" w:rsidTr="003C190D">
        <w:tc>
          <w:tcPr>
            <w:tcW w:w="10440" w:type="dxa"/>
            <w:gridSpan w:val="3"/>
          </w:tcPr>
          <w:p w:rsidR="009F2139" w:rsidRPr="00A65144" w:rsidRDefault="009F2139" w:rsidP="00162F3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65144">
              <w:rPr>
                <w:b/>
                <w:bCs/>
                <w:sz w:val="22"/>
                <w:szCs w:val="22"/>
              </w:rPr>
              <w:t>Section 3. Personal Protective Equipment (Primary Barrier)</w:t>
            </w:r>
          </w:p>
        </w:tc>
      </w:tr>
      <w:tr w:rsidR="00162F36" w:rsidRPr="00A65144" w:rsidTr="009F2139">
        <w:tc>
          <w:tcPr>
            <w:tcW w:w="496" w:type="dxa"/>
            <w:tcBorders>
              <w:right w:val="single" w:sz="4" w:space="0" w:color="auto"/>
            </w:tcBorders>
          </w:tcPr>
          <w:sdt>
            <w:sdtPr>
              <w:rPr>
                <w:bCs/>
                <w:sz w:val="28"/>
                <w:szCs w:val="28"/>
              </w:rPr>
              <w:id w:val="-86694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62F36" w:rsidRPr="00D51DFC" w:rsidRDefault="009B460D" w:rsidP="00162F36">
                <w:pPr>
                  <w:pStyle w:val="Default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2" w:type="dxa"/>
            <w:tcBorders>
              <w:right w:val="single" w:sz="4" w:space="0" w:color="auto"/>
            </w:tcBorders>
          </w:tcPr>
          <w:p w:rsidR="00162F36" w:rsidRPr="00A33533" w:rsidRDefault="00162F36" w:rsidP="00162F36">
            <w:pPr>
              <w:pStyle w:val="Default"/>
              <w:rPr>
                <w:bCs/>
                <w:sz w:val="22"/>
                <w:szCs w:val="22"/>
              </w:rPr>
            </w:pPr>
            <w:r w:rsidRPr="00A3353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482" w:type="dxa"/>
            <w:tcBorders>
              <w:left w:val="single" w:sz="4" w:space="0" w:color="auto"/>
            </w:tcBorders>
          </w:tcPr>
          <w:p w:rsidR="00162F36" w:rsidRPr="00762AC9" w:rsidRDefault="00162F36" w:rsidP="00162F36">
            <w:pPr>
              <w:pStyle w:val="Default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 xml:space="preserve">Protective clothing is recommended while in the laboratory.   </w:t>
            </w:r>
          </w:p>
        </w:tc>
      </w:tr>
      <w:tr w:rsidR="00162F36" w:rsidRPr="00A65144" w:rsidTr="009F2139">
        <w:tc>
          <w:tcPr>
            <w:tcW w:w="496" w:type="dxa"/>
            <w:tcBorders>
              <w:right w:val="single" w:sz="4" w:space="0" w:color="auto"/>
            </w:tcBorders>
          </w:tcPr>
          <w:sdt>
            <w:sdtPr>
              <w:rPr>
                <w:bCs/>
                <w:sz w:val="28"/>
                <w:szCs w:val="28"/>
              </w:rPr>
              <w:id w:val="1171603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62F36" w:rsidRPr="00D51DFC" w:rsidRDefault="009B460D" w:rsidP="00162F36">
                <w:pPr>
                  <w:pStyle w:val="Default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2" w:type="dxa"/>
            <w:tcBorders>
              <w:right w:val="single" w:sz="4" w:space="0" w:color="auto"/>
            </w:tcBorders>
          </w:tcPr>
          <w:p w:rsidR="00162F36" w:rsidRPr="00A33533" w:rsidRDefault="00162F36" w:rsidP="00162F36">
            <w:pPr>
              <w:pStyle w:val="Default"/>
              <w:rPr>
                <w:bCs/>
                <w:sz w:val="22"/>
                <w:szCs w:val="22"/>
              </w:rPr>
            </w:pPr>
            <w:r w:rsidRPr="00A3353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82" w:type="dxa"/>
            <w:tcBorders>
              <w:left w:val="single" w:sz="4" w:space="0" w:color="auto"/>
            </w:tcBorders>
          </w:tcPr>
          <w:p w:rsidR="00162F36" w:rsidRPr="00A65144" w:rsidRDefault="00162F36" w:rsidP="00162F3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>Wear gloves when skin contact is unavoidable with agents.  Gloves should not be worn outside the laboratory.</w:t>
            </w:r>
          </w:p>
        </w:tc>
      </w:tr>
      <w:tr w:rsidR="00162F36" w:rsidRPr="00A65144" w:rsidTr="009F2139">
        <w:tc>
          <w:tcPr>
            <w:tcW w:w="496" w:type="dxa"/>
            <w:tcBorders>
              <w:right w:val="single" w:sz="4" w:space="0" w:color="auto"/>
            </w:tcBorders>
          </w:tcPr>
          <w:sdt>
            <w:sdtPr>
              <w:rPr>
                <w:bCs/>
                <w:sz w:val="28"/>
                <w:szCs w:val="28"/>
              </w:rPr>
              <w:id w:val="174052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62F36" w:rsidRPr="00D51DFC" w:rsidRDefault="009B460D" w:rsidP="00162F36">
                <w:pPr>
                  <w:pStyle w:val="Default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2" w:type="dxa"/>
            <w:tcBorders>
              <w:right w:val="single" w:sz="4" w:space="0" w:color="auto"/>
            </w:tcBorders>
          </w:tcPr>
          <w:p w:rsidR="00162F36" w:rsidRPr="00A33533" w:rsidRDefault="00162F36" w:rsidP="00162F36">
            <w:pPr>
              <w:pStyle w:val="Default"/>
              <w:rPr>
                <w:bCs/>
                <w:sz w:val="22"/>
                <w:szCs w:val="22"/>
              </w:rPr>
            </w:pPr>
            <w:r w:rsidRPr="00A3353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82" w:type="dxa"/>
            <w:tcBorders>
              <w:left w:val="single" w:sz="4" w:space="0" w:color="auto"/>
            </w:tcBorders>
          </w:tcPr>
          <w:p w:rsidR="00162F36" w:rsidRPr="00762AC9" w:rsidRDefault="00162F36" w:rsidP="0016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5144">
              <w:rPr>
                <w:rFonts w:ascii="Arial" w:hAnsi="Arial" w:cs="Arial"/>
              </w:rPr>
              <w:t>Eye and face protection (goggles, mask, face shield or other splatter guard) is used for anticipated splashes or sprays of agents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9F2139" w:rsidRPr="00A65144" w:rsidTr="00210A12">
        <w:trPr>
          <w:trHeight w:val="320"/>
        </w:trPr>
        <w:tc>
          <w:tcPr>
            <w:tcW w:w="10440" w:type="dxa"/>
            <w:gridSpan w:val="3"/>
          </w:tcPr>
          <w:p w:rsidR="009F2139" w:rsidRPr="00A65144" w:rsidRDefault="009F2139" w:rsidP="00162F36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  <w:r w:rsidRPr="00A65144">
              <w:rPr>
                <w:b/>
                <w:bCs/>
                <w:sz w:val="22"/>
                <w:szCs w:val="22"/>
              </w:rPr>
              <w:t>Section 4. Laboratory Facilities (Secondary Barrier)</w:t>
            </w:r>
          </w:p>
        </w:tc>
      </w:tr>
      <w:tr w:rsidR="00162F36" w:rsidRPr="00A65144" w:rsidTr="009F213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626575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62F36" w:rsidRPr="00D51DFC" w:rsidRDefault="009B460D" w:rsidP="00162F36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2" w:type="dxa"/>
          </w:tcPr>
          <w:p w:rsidR="00162F36" w:rsidRPr="00A65144" w:rsidRDefault="00162F36" w:rsidP="00162F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482" w:type="dxa"/>
          </w:tcPr>
          <w:p w:rsidR="00162F36" w:rsidRPr="00A65144" w:rsidRDefault="00162F36" w:rsidP="00162F36">
            <w:pPr>
              <w:pStyle w:val="Default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 xml:space="preserve">The laboratory is designed so that it can be easily cleaned; no carpet or rugs.   </w:t>
            </w:r>
          </w:p>
          <w:p w:rsidR="00162F36" w:rsidRPr="00A65144" w:rsidRDefault="00162F36" w:rsidP="00162F36">
            <w:pPr>
              <w:pStyle w:val="Default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</w:p>
        </w:tc>
      </w:tr>
      <w:tr w:rsidR="00162F36" w:rsidRPr="00A65144" w:rsidTr="009F213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387984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62F36" w:rsidRPr="00D51DFC" w:rsidRDefault="009B460D" w:rsidP="00162F36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2" w:type="dxa"/>
          </w:tcPr>
          <w:p w:rsidR="00162F36" w:rsidRPr="00A65144" w:rsidRDefault="00162F36" w:rsidP="00162F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482" w:type="dxa"/>
          </w:tcPr>
          <w:p w:rsidR="00162F36" w:rsidRPr="00762AC9" w:rsidRDefault="00162F36" w:rsidP="00162F36">
            <w:pPr>
              <w:pStyle w:val="Default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>Spaces between benches, cabinets and equipment are accessible for cleaning.</w:t>
            </w:r>
          </w:p>
        </w:tc>
      </w:tr>
      <w:tr w:rsidR="00162F36" w:rsidRPr="00A65144" w:rsidTr="009F213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-1974509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62F36" w:rsidRPr="00D51DFC" w:rsidRDefault="009B460D" w:rsidP="00162F36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2" w:type="dxa"/>
          </w:tcPr>
          <w:p w:rsidR="00162F36" w:rsidRPr="00A65144" w:rsidRDefault="00162F36" w:rsidP="00162F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482" w:type="dxa"/>
          </w:tcPr>
          <w:p w:rsidR="00162F36" w:rsidRPr="00762AC9" w:rsidRDefault="00162F36" w:rsidP="00162F36">
            <w:pPr>
              <w:pStyle w:val="Default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>No fabric upholstered/covered furniture or chairs are permitted.</w:t>
            </w:r>
          </w:p>
        </w:tc>
      </w:tr>
      <w:tr w:rsidR="00162F36" w:rsidRPr="00A65144" w:rsidTr="009F213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554438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62F36" w:rsidRPr="00D51DFC" w:rsidRDefault="009B460D" w:rsidP="00162F36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2" w:type="dxa"/>
          </w:tcPr>
          <w:p w:rsidR="00162F36" w:rsidRPr="00A65144" w:rsidRDefault="00162F36" w:rsidP="00162F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82" w:type="dxa"/>
          </w:tcPr>
          <w:p w:rsidR="00162F36" w:rsidRPr="00762AC9" w:rsidRDefault="00162F36" w:rsidP="00162F36">
            <w:pPr>
              <w:pStyle w:val="Default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 xml:space="preserve">Bench tops are impervious to water and resistant to acids, chemicals, organic solvents, and moderate heat. </w:t>
            </w:r>
          </w:p>
        </w:tc>
      </w:tr>
      <w:tr w:rsidR="00162F36" w:rsidRPr="00A65144" w:rsidTr="009F213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104311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62F36" w:rsidRPr="00D51DFC" w:rsidRDefault="009B460D" w:rsidP="00162F36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2" w:type="dxa"/>
          </w:tcPr>
          <w:p w:rsidR="00162F36" w:rsidRPr="00A65144" w:rsidRDefault="00162F36" w:rsidP="00162F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482" w:type="dxa"/>
          </w:tcPr>
          <w:p w:rsidR="00162F36" w:rsidRPr="00762AC9" w:rsidRDefault="00162F36" w:rsidP="00162F36">
            <w:pPr>
              <w:pStyle w:val="Default"/>
              <w:numPr>
                <w:ilvl w:val="0"/>
                <w:numId w:val="2"/>
              </w:numPr>
              <w:ind w:left="0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 xml:space="preserve">Laboratory furniture is sturdy and capable of supporting anticipated loads.  </w:t>
            </w:r>
          </w:p>
        </w:tc>
      </w:tr>
      <w:tr w:rsidR="00162F36" w:rsidRPr="00A65144" w:rsidTr="009F213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282153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62F36" w:rsidRPr="00D51DFC" w:rsidRDefault="009B460D" w:rsidP="00162F36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2" w:type="dxa"/>
          </w:tcPr>
          <w:p w:rsidR="00162F36" w:rsidRPr="00A65144" w:rsidRDefault="00162F36" w:rsidP="00162F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482" w:type="dxa"/>
          </w:tcPr>
          <w:p w:rsidR="00162F36" w:rsidRPr="00A65144" w:rsidRDefault="00162F36" w:rsidP="00162F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5144">
              <w:rPr>
                <w:rFonts w:ascii="Arial" w:hAnsi="Arial" w:cs="Arial"/>
              </w:rPr>
              <w:t>Washing sink and eye wash station are re</w:t>
            </w:r>
            <w:r>
              <w:rPr>
                <w:rFonts w:ascii="Arial" w:hAnsi="Arial" w:cs="Arial"/>
              </w:rPr>
              <w:t>adily available and accessible.</w:t>
            </w:r>
          </w:p>
        </w:tc>
      </w:tr>
      <w:tr w:rsidR="00162F36" w:rsidRPr="00A65144" w:rsidTr="009F213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636062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62F36" w:rsidRPr="00D51DFC" w:rsidRDefault="009B460D" w:rsidP="00162F36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2" w:type="dxa"/>
          </w:tcPr>
          <w:p w:rsidR="00162F36" w:rsidRPr="00A65144" w:rsidRDefault="00162F36" w:rsidP="00162F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482" w:type="dxa"/>
          </w:tcPr>
          <w:p w:rsidR="00162F36" w:rsidRPr="00A65144" w:rsidRDefault="00162F36" w:rsidP="00162F36">
            <w:pPr>
              <w:pStyle w:val="Default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>Laboratory windows that open to outsi</w:t>
            </w:r>
            <w:r>
              <w:rPr>
                <w:sz w:val="22"/>
                <w:szCs w:val="22"/>
              </w:rPr>
              <w:t>de are fitted with fly screens.</w:t>
            </w:r>
          </w:p>
        </w:tc>
      </w:tr>
      <w:tr w:rsidR="00162F36" w:rsidRPr="00A65144" w:rsidTr="009F2139">
        <w:tc>
          <w:tcPr>
            <w:tcW w:w="49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207534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62F36" w:rsidRPr="00D51DFC" w:rsidRDefault="009B460D" w:rsidP="00162F36">
                <w:pPr>
                  <w:spacing w:after="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62" w:type="dxa"/>
          </w:tcPr>
          <w:p w:rsidR="00162F36" w:rsidRPr="00A65144" w:rsidRDefault="00162F36" w:rsidP="00162F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482" w:type="dxa"/>
          </w:tcPr>
          <w:p w:rsidR="00162F36" w:rsidRPr="00A65144" w:rsidRDefault="00162F36" w:rsidP="00162F36">
            <w:pPr>
              <w:pStyle w:val="Default"/>
              <w:rPr>
                <w:sz w:val="22"/>
                <w:szCs w:val="22"/>
              </w:rPr>
            </w:pPr>
            <w:r w:rsidRPr="00A65144">
              <w:rPr>
                <w:sz w:val="22"/>
                <w:szCs w:val="22"/>
              </w:rPr>
              <w:t xml:space="preserve">Insect and rodent </w:t>
            </w:r>
            <w:r>
              <w:rPr>
                <w:sz w:val="22"/>
                <w:szCs w:val="22"/>
              </w:rPr>
              <w:t>control programs are in effect.</w:t>
            </w:r>
          </w:p>
        </w:tc>
      </w:tr>
    </w:tbl>
    <w:p w:rsidR="00873FAD" w:rsidRDefault="00873FAD" w:rsidP="00FC50A5">
      <w:pPr>
        <w:spacing w:after="0"/>
        <w:rPr>
          <w:rFonts w:ascii="Arial" w:hAnsi="Arial" w:cs="Arial"/>
          <w:b/>
          <w:bCs/>
        </w:rPr>
      </w:pPr>
    </w:p>
    <w:p w:rsidR="00FC50A5" w:rsidRPr="00873FAD" w:rsidRDefault="00FC50A5" w:rsidP="00FC50A5">
      <w:pPr>
        <w:spacing w:after="0"/>
        <w:rPr>
          <w:rFonts w:ascii="Arial" w:hAnsi="Arial" w:cs="Arial"/>
          <w:b/>
          <w:bCs/>
        </w:rPr>
      </w:pPr>
      <w:r w:rsidRPr="00A65144">
        <w:rPr>
          <w:rFonts w:ascii="Arial" w:hAnsi="Arial" w:cs="Arial"/>
          <w:bCs/>
        </w:rPr>
        <w:t>Please provide explanation or comment if the statement is unchecked.</w:t>
      </w:r>
    </w:p>
    <w:p w:rsidR="00FC50A5" w:rsidRPr="00A65144" w:rsidRDefault="00FC50A5" w:rsidP="00FC50A5">
      <w:pPr>
        <w:spacing w:after="240"/>
        <w:rPr>
          <w:rFonts w:ascii="Arial" w:hAnsi="Arial" w:cs="Arial"/>
          <w:bCs/>
        </w:rPr>
      </w:pPr>
    </w:p>
    <w:p w:rsidR="00FC50A5" w:rsidRPr="00A65144" w:rsidRDefault="00FC50A5" w:rsidP="00FC50A5">
      <w:pPr>
        <w:spacing w:after="240"/>
        <w:rPr>
          <w:rFonts w:ascii="Arial" w:hAnsi="Arial" w:cs="Arial"/>
          <w:bCs/>
        </w:rPr>
      </w:pPr>
      <w:r w:rsidRPr="00A65144">
        <w:rPr>
          <w:rFonts w:ascii="Arial" w:hAnsi="Arial" w:cs="Arial"/>
          <w:bCs/>
        </w:rPr>
        <w:t>________________________________________________________________</w:t>
      </w:r>
      <w:r w:rsidR="00A65144">
        <w:rPr>
          <w:rFonts w:ascii="Arial" w:hAnsi="Arial" w:cs="Arial"/>
          <w:bCs/>
        </w:rPr>
        <w:t>___________________</w:t>
      </w:r>
    </w:p>
    <w:p w:rsidR="00FC50A5" w:rsidRPr="00A65144" w:rsidRDefault="00FC50A5" w:rsidP="00FC50A5">
      <w:pPr>
        <w:spacing w:after="240"/>
        <w:rPr>
          <w:rFonts w:ascii="Arial" w:hAnsi="Arial" w:cs="Arial"/>
          <w:bCs/>
        </w:rPr>
      </w:pPr>
      <w:r w:rsidRPr="00A65144">
        <w:rPr>
          <w:rFonts w:ascii="Arial" w:hAnsi="Arial" w:cs="Arial"/>
          <w:bCs/>
        </w:rPr>
        <w:t>________________________________________________________________</w:t>
      </w:r>
      <w:r w:rsidR="00A65144">
        <w:rPr>
          <w:rFonts w:ascii="Arial" w:hAnsi="Arial" w:cs="Arial"/>
          <w:bCs/>
        </w:rPr>
        <w:t>___________________</w:t>
      </w:r>
    </w:p>
    <w:p w:rsidR="00FC50A5" w:rsidRPr="00A65144" w:rsidRDefault="00FC50A5" w:rsidP="00FC50A5">
      <w:pPr>
        <w:spacing w:after="240"/>
        <w:rPr>
          <w:rFonts w:ascii="Arial" w:hAnsi="Arial" w:cs="Arial"/>
          <w:bCs/>
        </w:rPr>
      </w:pPr>
      <w:r w:rsidRPr="00A65144">
        <w:rPr>
          <w:rFonts w:ascii="Arial" w:hAnsi="Arial" w:cs="Arial"/>
          <w:bCs/>
        </w:rPr>
        <w:t>_________________________________________________________________</w:t>
      </w:r>
      <w:r w:rsidR="00A65144">
        <w:rPr>
          <w:rFonts w:ascii="Arial" w:hAnsi="Arial" w:cs="Arial"/>
          <w:bCs/>
        </w:rPr>
        <w:t>__________________</w:t>
      </w:r>
    </w:p>
    <w:p w:rsidR="00FC50A5" w:rsidRPr="00A65144" w:rsidRDefault="00FC50A5" w:rsidP="00FC50A5">
      <w:pPr>
        <w:spacing w:after="240"/>
        <w:rPr>
          <w:rFonts w:ascii="Arial" w:hAnsi="Arial" w:cs="Arial"/>
        </w:rPr>
      </w:pPr>
      <w:r w:rsidRPr="00A65144">
        <w:rPr>
          <w:rFonts w:ascii="Arial" w:hAnsi="Arial" w:cs="Arial"/>
        </w:rPr>
        <w:t>________________________________________________________</w:t>
      </w:r>
      <w:r w:rsidR="00A65144">
        <w:rPr>
          <w:rFonts w:ascii="Arial" w:hAnsi="Arial" w:cs="Arial"/>
        </w:rPr>
        <w:t>___________________________</w:t>
      </w:r>
    </w:p>
    <w:p w:rsidR="00FC50A5" w:rsidRPr="00A65144" w:rsidRDefault="00FC50A5" w:rsidP="00FC50A5">
      <w:pPr>
        <w:spacing w:after="240"/>
        <w:rPr>
          <w:rFonts w:ascii="Arial" w:hAnsi="Arial" w:cs="Arial"/>
        </w:rPr>
      </w:pPr>
      <w:r w:rsidRPr="00A65144">
        <w:rPr>
          <w:rFonts w:ascii="Arial" w:hAnsi="Arial" w:cs="Arial"/>
        </w:rPr>
        <w:t>________________________________________________________</w:t>
      </w:r>
      <w:r w:rsidR="00A65144">
        <w:rPr>
          <w:rFonts w:ascii="Arial" w:hAnsi="Arial" w:cs="Arial"/>
        </w:rPr>
        <w:t>___________________________</w:t>
      </w:r>
    </w:p>
    <w:p w:rsidR="00FC50A5" w:rsidRPr="00A65144" w:rsidRDefault="00FC50A5" w:rsidP="00FC50A5">
      <w:pPr>
        <w:spacing w:after="240"/>
        <w:rPr>
          <w:rFonts w:ascii="Arial" w:hAnsi="Arial" w:cs="Arial"/>
        </w:rPr>
      </w:pPr>
      <w:r w:rsidRPr="00A65144">
        <w:rPr>
          <w:rFonts w:ascii="Arial" w:hAnsi="Arial" w:cs="Arial"/>
        </w:rPr>
        <w:t>____________________________________________________________</w:t>
      </w:r>
      <w:r w:rsidR="00A65144">
        <w:rPr>
          <w:rFonts w:ascii="Arial" w:hAnsi="Arial" w:cs="Arial"/>
        </w:rPr>
        <w:t>_______________________</w:t>
      </w:r>
    </w:p>
    <w:p w:rsidR="00135119" w:rsidRPr="00A65144" w:rsidRDefault="00FC50A5" w:rsidP="00FC50A5">
      <w:pPr>
        <w:spacing w:after="240"/>
        <w:rPr>
          <w:rFonts w:ascii="Arial" w:hAnsi="Arial" w:cs="Arial"/>
        </w:rPr>
      </w:pPr>
      <w:r w:rsidRPr="00A65144">
        <w:rPr>
          <w:rFonts w:ascii="Arial" w:hAnsi="Arial" w:cs="Arial"/>
        </w:rPr>
        <w:t>___________________________________________________________________________________</w:t>
      </w:r>
    </w:p>
    <w:sectPr w:rsidR="00135119" w:rsidRPr="00A65144" w:rsidSect="008A29A1">
      <w:headerReference w:type="default" r:id="rId9"/>
      <w:footerReference w:type="default" r:id="rId10"/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81F" w:rsidRPr="008A29A1" w:rsidRDefault="00DE381F" w:rsidP="008A29A1">
      <w:pPr>
        <w:spacing w:after="0" w:line="240" w:lineRule="auto"/>
      </w:pPr>
      <w:r>
        <w:separator/>
      </w:r>
    </w:p>
  </w:endnote>
  <w:endnote w:type="continuationSeparator" w:id="0">
    <w:p w:rsidR="00DE381F" w:rsidRPr="008A29A1" w:rsidRDefault="00DE381F" w:rsidP="008A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0C" w:rsidRDefault="002A7E0C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A85DF0">
      <w:rPr>
        <w:noProof/>
      </w:rPr>
      <w:t>1</w:t>
    </w:r>
    <w:r>
      <w:rPr>
        <w:noProof/>
      </w:rPr>
      <w:fldChar w:fldCharType="end"/>
    </w:r>
  </w:p>
  <w:p w:rsidR="002A7E0C" w:rsidRPr="00E36F7B" w:rsidRDefault="002A7E0C" w:rsidP="002A7E0C">
    <w:pPr>
      <w:rPr>
        <w:rFonts w:ascii="Arial" w:hAnsi="Arial" w:cs="Arial"/>
        <w:b/>
        <w:bCs/>
        <w:color w:val="0000FF"/>
        <w:sz w:val="20"/>
        <w:szCs w:val="20"/>
      </w:rPr>
    </w:pPr>
    <w:r w:rsidRPr="00E36F7B">
      <w:rPr>
        <w:rFonts w:ascii="Arial" w:hAnsi="Arial" w:cs="Arial"/>
        <w:i/>
        <w:iCs/>
        <w:color w:val="800000"/>
        <w:sz w:val="20"/>
        <w:szCs w:val="20"/>
      </w:rPr>
      <w:t>Arvind K.N. Nandedkar, Ph.D. DABCC, FATS</w:t>
    </w:r>
    <w:r w:rsidRPr="00E36F7B">
      <w:rPr>
        <w:rFonts w:ascii="Arial" w:hAnsi="Arial" w:cs="Arial"/>
        <w:color w:val="000000"/>
        <w:sz w:val="20"/>
        <w:szCs w:val="20"/>
      </w:rPr>
      <w:t>, (</w:t>
    </w:r>
    <w:r w:rsidRPr="00E36F7B">
      <w:rPr>
        <w:rFonts w:ascii="Arial" w:hAnsi="Arial" w:cs="Arial"/>
        <w:b/>
        <w:bCs/>
        <w:color w:val="C00000"/>
        <w:sz w:val="20"/>
        <w:szCs w:val="20"/>
      </w:rPr>
      <w:t xml:space="preserve">UBSO)  </w:t>
    </w:r>
    <w:hyperlink r:id="rId1" w:history="1"/>
    <w:r w:rsidRPr="00E36F7B">
      <w:rPr>
        <w:rFonts w:ascii="Arial" w:hAnsi="Arial" w:cs="Arial"/>
        <w:b/>
        <w:bCs/>
        <w:color w:val="0000FF"/>
        <w:sz w:val="20"/>
        <w:szCs w:val="20"/>
      </w:rPr>
      <w:t xml:space="preserve"> </w:t>
    </w:r>
    <w:r w:rsidRPr="00E36F7B">
      <w:rPr>
        <w:rFonts w:ascii="Arial" w:hAnsi="Arial" w:cs="Arial"/>
        <w:b/>
        <w:bCs/>
        <w:color w:val="0F243E"/>
        <w:sz w:val="20"/>
        <w:szCs w:val="20"/>
      </w:rPr>
      <w:t></w:t>
    </w:r>
    <w:r w:rsidRPr="00E36F7B">
      <w:rPr>
        <w:rFonts w:ascii="Arial" w:hAnsi="Arial" w:cs="Arial"/>
        <w:b/>
        <w:bCs/>
        <w:i/>
        <w:iCs/>
        <w:color w:val="0F243E"/>
        <w:sz w:val="20"/>
        <w:szCs w:val="20"/>
      </w:rPr>
      <w:t>- </w:t>
    </w:r>
    <w:r w:rsidRPr="00E36F7B">
      <w:rPr>
        <w:rFonts w:ascii="Arial" w:hAnsi="Arial" w:cs="Arial"/>
        <w:b/>
        <w:bCs/>
        <w:color w:val="0F243E"/>
        <w:sz w:val="20"/>
        <w:szCs w:val="20"/>
      </w:rPr>
      <w:t>(202) 806-9710</w:t>
    </w:r>
    <w:proofErr w:type="gramStart"/>
    <w:r w:rsidRPr="00E36F7B">
      <w:rPr>
        <w:rFonts w:ascii="Arial" w:hAnsi="Arial" w:cs="Arial"/>
        <w:b/>
        <w:bCs/>
        <w:color w:val="0F243E"/>
        <w:sz w:val="20"/>
        <w:szCs w:val="20"/>
      </w:rPr>
      <w:t xml:space="preserve">  </w:t>
    </w:r>
    <w:r w:rsidRPr="00E36F7B">
      <w:rPr>
        <w:rFonts w:ascii="Arial" w:hAnsi="Arial" w:cs="Arial"/>
        <w:b/>
        <w:bCs/>
        <w:color w:val="0F243E"/>
        <w:sz w:val="20"/>
        <w:szCs w:val="20"/>
      </w:rPr>
      <w:t></w:t>
    </w:r>
    <w:proofErr w:type="gramEnd"/>
    <w:r w:rsidRPr="00E36F7B">
      <w:rPr>
        <w:rFonts w:ascii="Arial" w:hAnsi="Arial" w:cs="Arial"/>
        <w:b/>
        <w:bCs/>
        <w:i/>
        <w:iCs/>
        <w:color w:val="0F243E"/>
        <w:sz w:val="20"/>
        <w:szCs w:val="20"/>
      </w:rPr>
      <w:t>- </w:t>
    </w:r>
    <w:r w:rsidRPr="00E36F7B">
      <w:rPr>
        <w:rFonts w:ascii="Arial" w:hAnsi="Arial" w:cs="Arial"/>
        <w:b/>
        <w:bCs/>
        <w:color w:val="0F243E"/>
        <w:sz w:val="20"/>
        <w:szCs w:val="20"/>
      </w:rPr>
      <w:t>(202) 806-9474</w:t>
    </w:r>
    <w:r w:rsidRPr="00E36F7B">
      <w:rPr>
        <w:rFonts w:ascii="Arial" w:hAnsi="Arial" w:cs="Arial"/>
        <w:b/>
        <w:bCs/>
        <w:color w:val="002060"/>
        <w:sz w:val="20"/>
        <w:szCs w:val="20"/>
      </w:rPr>
      <w:t></w:t>
    </w:r>
    <w:r w:rsidRPr="00E36F7B">
      <w:rPr>
        <w:rFonts w:ascii="Arial" w:hAnsi="Arial" w:cs="Arial"/>
        <w:b/>
        <w:bCs/>
        <w:color w:val="000080"/>
        <w:sz w:val="20"/>
        <w:szCs w:val="20"/>
      </w:rPr>
      <w:t xml:space="preserve"> </w:t>
    </w:r>
    <w:hyperlink r:id="rId2" w:history="1">
      <w:r w:rsidRPr="00E36F7B">
        <w:rPr>
          <w:rStyle w:val="Hyperlink"/>
          <w:rFonts w:ascii="Arial" w:hAnsi="Arial" w:cs="Arial"/>
          <w:b/>
          <w:bCs/>
          <w:sz w:val="20"/>
          <w:szCs w:val="20"/>
        </w:rPr>
        <w:t>anandedkar@howard.edu</w:t>
      </w:r>
    </w:hyperlink>
    <w:r w:rsidRPr="00E36F7B">
      <w:rPr>
        <w:rFonts w:ascii="Arial" w:hAnsi="Arial" w:cs="Arial"/>
        <w:b/>
        <w:bCs/>
        <w:color w:val="000080"/>
        <w:sz w:val="20"/>
        <w:szCs w:val="20"/>
      </w:rPr>
      <w:t xml:space="preserve"> </w:t>
    </w:r>
    <w:hyperlink r:id="rId3" w:history="1"/>
    <w:r w:rsidRPr="00E36F7B">
      <w:rPr>
        <w:rFonts w:ascii="Arial" w:hAnsi="Arial" w:cs="Arial"/>
        <w:b/>
        <w:bCs/>
        <w:color w:val="000080"/>
        <w:sz w:val="20"/>
        <w:szCs w:val="20"/>
      </w:rPr>
      <w:t xml:space="preserve"> </w:t>
    </w:r>
  </w:p>
  <w:p w:rsidR="002A7E0C" w:rsidRDefault="002A7E0C">
    <w:pPr>
      <w:pStyle w:val="Footer"/>
      <w:jc w:val="center"/>
    </w:pPr>
  </w:p>
  <w:p w:rsidR="00E2169B" w:rsidRPr="00E36F7B" w:rsidRDefault="00E2169B" w:rsidP="00E2169B">
    <w:pPr>
      <w:rPr>
        <w:rFonts w:ascii="Arial" w:hAnsi="Arial" w:cs="Arial"/>
        <w:b/>
        <w:bCs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81F" w:rsidRPr="008A29A1" w:rsidRDefault="00DE381F" w:rsidP="008A29A1">
      <w:pPr>
        <w:spacing w:after="0" w:line="240" w:lineRule="auto"/>
      </w:pPr>
      <w:r>
        <w:separator/>
      </w:r>
    </w:p>
  </w:footnote>
  <w:footnote w:type="continuationSeparator" w:id="0">
    <w:p w:rsidR="00DE381F" w:rsidRPr="008A29A1" w:rsidRDefault="00DE381F" w:rsidP="008A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9A1" w:rsidRDefault="00E2169B" w:rsidP="00E2169B">
    <w:pPr>
      <w:pStyle w:val="Header"/>
      <w:jc w:val="center"/>
      <w:rPr>
        <w:rFonts w:ascii="Arial" w:hAnsi="Arial" w:cs="Arial"/>
        <w:color w:val="1F3864"/>
      </w:rPr>
    </w:pPr>
    <w:r w:rsidRPr="00A65144">
      <w:rPr>
        <w:rFonts w:ascii="Arial" w:hAnsi="Arial" w:cs="Arial"/>
        <w:color w:val="1F3864"/>
      </w:rPr>
      <w:t xml:space="preserve">Submit to the </w:t>
    </w:r>
    <w:r w:rsidR="009057FD" w:rsidRPr="00A65144">
      <w:rPr>
        <w:rFonts w:ascii="Arial" w:hAnsi="Arial" w:cs="Arial"/>
        <w:color w:val="1F3864"/>
      </w:rPr>
      <w:t xml:space="preserve">ORRC with a </w:t>
    </w:r>
    <w:r w:rsidRPr="00A65144">
      <w:rPr>
        <w:rFonts w:ascii="Arial" w:hAnsi="Arial" w:cs="Arial"/>
        <w:color w:val="1F3864"/>
      </w:rPr>
      <w:t xml:space="preserve">copy to </w:t>
    </w:r>
    <w:r w:rsidR="009057FD" w:rsidRPr="00A65144">
      <w:rPr>
        <w:rFonts w:ascii="Arial" w:hAnsi="Arial" w:cs="Arial"/>
        <w:b/>
        <w:bCs/>
        <w:color w:val="C00000"/>
      </w:rPr>
      <w:t>University BioSafety Officer</w:t>
    </w:r>
    <w:r w:rsidR="009057FD" w:rsidRPr="00A65144">
      <w:rPr>
        <w:rFonts w:ascii="Arial" w:hAnsi="Arial" w:cs="Arial"/>
        <w:b/>
        <w:bCs/>
        <w:color w:val="008080"/>
      </w:rPr>
      <w:t xml:space="preserve"> </w:t>
    </w:r>
    <w:r w:rsidR="00E41E1B" w:rsidRPr="00A65144">
      <w:rPr>
        <w:rFonts w:ascii="Arial" w:hAnsi="Arial" w:cs="Arial"/>
        <w:b/>
        <w:bCs/>
        <w:color w:val="C00000"/>
        <w:sz w:val="24"/>
        <w:szCs w:val="24"/>
      </w:rPr>
      <w:t xml:space="preserve">(UBSO) </w:t>
    </w:r>
    <w:r w:rsidR="00E41E1B" w:rsidRPr="00A65144">
      <w:rPr>
        <w:rFonts w:ascii="Arial" w:hAnsi="Arial" w:cs="Arial"/>
        <w:color w:val="1F3864"/>
      </w:rPr>
      <w:t>for</w:t>
    </w:r>
    <w:r w:rsidR="009057FD" w:rsidRPr="00A65144">
      <w:rPr>
        <w:rFonts w:ascii="Arial" w:hAnsi="Arial" w:cs="Arial"/>
        <w:color w:val="1F3864"/>
      </w:rPr>
      <w:t xml:space="preserve"> </w:t>
    </w:r>
    <w:r w:rsidRPr="00A65144">
      <w:rPr>
        <w:rFonts w:ascii="Arial" w:hAnsi="Arial" w:cs="Arial"/>
        <w:color w:val="1F3864"/>
      </w:rPr>
      <w:t>processing</w:t>
    </w:r>
    <w:r w:rsidR="009057FD" w:rsidRPr="00A65144">
      <w:rPr>
        <w:rFonts w:ascii="Arial" w:hAnsi="Arial" w:cs="Arial"/>
        <w:color w:val="1F3864"/>
      </w:rPr>
      <w:t>.</w:t>
    </w:r>
    <w:r w:rsidRPr="00A65144">
      <w:rPr>
        <w:rFonts w:ascii="Arial" w:hAnsi="Arial" w:cs="Arial"/>
        <w:color w:val="1F3864"/>
      </w:rPr>
      <w:t xml:space="preserve"> </w:t>
    </w:r>
  </w:p>
  <w:p w:rsidR="003225A1" w:rsidRDefault="003225A1" w:rsidP="00E2169B">
    <w:pPr>
      <w:pStyle w:val="Header"/>
      <w:jc w:val="center"/>
      <w:rPr>
        <w:rFonts w:ascii="Arial" w:hAnsi="Arial" w:cs="Arial"/>
        <w:color w:val="1F3864"/>
      </w:rPr>
    </w:pPr>
  </w:p>
  <w:p w:rsidR="003225A1" w:rsidRPr="00A65144" w:rsidRDefault="003225A1" w:rsidP="00E2169B">
    <w:pPr>
      <w:pStyle w:val="Header"/>
      <w:jc w:val="center"/>
      <w:rPr>
        <w:rFonts w:ascii="Arial" w:hAnsi="Arial" w:cs="Arial"/>
        <w:color w:val="1F3864"/>
      </w:rPr>
    </w:pPr>
    <w:r>
      <w:rPr>
        <w:rFonts w:ascii="Arial" w:hAnsi="Arial" w:cs="Arial"/>
        <w:b/>
        <w:color w:val="0070C0"/>
        <w:sz w:val="24"/>
        <w:szCs w:val="24"/>
      </w:rPr>
      <w:tab/>
    </w:r>
    <w:r>
      <w:rPr>
        <w:rFonts w:ascii="Arial" w:hAnsi="Arial" w:cs="Arial"/>
        <w:b/>
        <w:color w:val="0070C0"/>
        <w:sz w:val="24"/>
        <w:szCs w:val="24"/>
      </w:rPr>
      <w:tab/>
    </w:r>
    <w:r w:rsidRPr="002E3BD3">
      <w:rPr>
        <w:rFonts w:ascii="Arial" w:hAnsi="Arial" w:cs="Arial"/>
        <w:b/>
        <w:color w:val="0070C0"/>
        <w:sz w:val="24"/>
        <w:szCs w:val="24"/>
      </w:rPr>
      <w:t>B</w:t>
    </w:r>
    <w:r>
      <w:rPr>
        <w:rFonts w:ascii="Arial" w:hAnsi="Arial" w:cs="Arial"/>
        <w:b/>
        <w:color w:val="0070C0"/>
        <w:sz w:val="24"/>
        <w:szCs w:val="24"/>
      </w:rPr>
      <w:t>SL-1</w:t>
    </w:r>
    <w:r w:rsidRPr="002E3BD3">
      <w:rPr>
        <w:rFonts w:ascii="Arial" w:hAnsi="Arial" w:cs="Arial"/>
        <w:b/>
        <w:color w:val="0070C0"/>
        <w:sz w:val="24"/>
        <w:szCs w:val="24"/>
      </w:rPr>
      <w:t xml:space="preserve"> Check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22A5B"/>
    <w:multiLevelType w:val="hybridMultilevel"/>
    <w:tmpl w:val="40707520"/>
    <w:lvl w:ilvl="0" w:tplc="C150A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C0996"/>
    <w:multiLevelType w:val="hybridMultilevel"/>
    <w:tmpl w:val="10B0A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A1"/>
    <w:rsid w:val="000A3045"/>
    <w:rsid w:val="000A5D34"/>
    <w:rsid w:val="000C0293"/>
    <w:rsid w:val="000D25CF"/>
    <w:rsid w:val="000E39B7"/>
    <w:rsid w:val="001016DC"/>
    <w:rsid w:val="00122569"/>
    <w:rsid w:val="001300F1"/>
    <w:rsid w:val="00131E80"/>
    <w:rsid w:val="00135119"/>
    <w:rsid w:val="00162F36"/>
    <w:rsid w:val="001D6EC1"/>
    <w:rsid w:val="00202196"/>
    <w:rsid w:val="0023481A"/>
    <w:rsid w:val="002A32CA"/>
    <w:rsid w:val="002A7E0C"/>
    <w:rsid w:val="002C1EF0"/>
    <w:rsid w:val="002C750A"/>
    <w:rsid w:val="003225A1"/>
    <w:rsid w:val="003556D8"/>
    <w:rsid w:val="0035778E"/>
    <w:rsid w:val="003749D4"/>
    <w:rsid w:val="00375705"/>
    <w:rsid w:val="00396D61"/>
    <w:rsid w:val="003B126F"/>
    <w:rsid w:val="003E0125"/>
    <w:rsid w:val="00405727"/>
    <w:rsid w:val="00426962"/>
    <w:rsid w:val="00447EDF"/>
    <w:rsid w:val="00457C80"/>
    <w:rsid w:val="00476484"/>
    <w:rsid w:val="004A329A"/>
    <w:rsid w:val="004E7262"/>
    <w:rsid w:val="00565AC4"/>
    <w:rsid w:val="00583EDF"/>
    <w:rsid w:val="0060623D"/>
    <w:rsid w:val="00614187"/>
    <w:rsid w:val="0061469D"/>
    <w:rsid w:val="006543EF"/>
    <w:rsid w:val="0065574B"/>
    <w:rsid w:val="006A0B91"/>
    <w:rsid w:val="006C60BD"/>
    <w:rsid w:val="006D4627"/>
    <w:rsid w:val="00705795"/>
    <w:rsid w:val="00737164"/>
    <w:rsid w:val="00762AC9"/>
    <w:rsid w:val="00780E1D"/>
    <w:rsid w:val="00790098"/>
    <w:rsid w:val="007B6C06"/>
    <w:rsid w:val="007E4784"/>
    <w:rsid w:val="007F7D09"/>
    <w:rsid w:val="008565CD"/>
    <w:rsid w:val="00871898"/>
    <w:rsid w:val="00873FAD"/>
    <w:rsid w:val="008A29A1"/>
    <w:rsid w:val="008A704B"/>
    <w:rsid w:val="008C2934"/>
    <w:rsid w:val="008E1CAD"/>
    <w:rsid w:val="009057FD"/>
    <w:rsid w:val="00914A73"/>
    <w:rsid w:val="009670C7"/>
    <w:rsid w:val="009A295B"/>
    <w:rsid w:val="009B460D"/>
    <w:rsid w:val="009B6D85"/>
    <w:rsid w:val="009E7FA0"/>
    <w:rsid w:val="009F2139"/>
    <w:rsid w:val="00A33533"/>
    <w:rsid w:val="00A407C7"/>
    <w:rsid w:val="00A56362"/>
    <w:rsid w:val="00A65144"/>
    <w:rsid w:val="00A85DF0"/>
    <w:rsid w:val="00A920B3"/>
    <w:rsid w:val="00AC3A67"/>
    <w:rsid w:val="00B00EBE"/>
    <w:rsid w:val="00B02307"/>
    <w:rsid w:val="00B13A56"/>
    <w:rsid w:val="00B25354"/>
    <w:rsid w:val="00B30F10"/>
    <w:rsid w:val="00B42709"/>
    <w:rsid w:val="00B44E38"/>
    <w:rsid w:val="00B71ED5"/>
    <w:rsid w:val="00C266E0"/>
    <w:rsid w:val="00C502FD"/>
    <w:rsid w:val="00C64027"/>
    <w:rsid w:val="00C909B8"/>
    <w:rsid w:val="00CC1ADE"/>
    <w:rsid w:val="00D3505B"/>
    <w:rsid w:val="00D51DFC"/>
    <w:rsid w:val="00D609AA"/>
    <w:rsid w:val="00DC049E"/>
    <w:rsid w:val="00DE20EE"/>
    <w:rsid w:val="00DE27BE"/>
    <w:rsid w:val="00DE381F"/>
    <w:rsid w:val="00E2169B"/>
    <w:rsid w:val="00E36F7B"/>
    <w:rsid w:val="00E41E1B"/>
    <w:rsid w:val="00E62496"/>
    <w:rsid w:val="00E63042"/>
    <w:rsid w:val="00E860B8"/>
    <w:rsid w:val="00EA626C"/>
    <w:rsid w:val="00EB3F37"/>
    <w:rsid w:val="00EC6901"/>
    <w:rsid w:val="00F0460D"/>
    <w:rsid w:val="00F173DA"/>
    <w:rsid w:val="00F251C5"/>
    <w:rsid w:val="00F35892"/>
    <w:rsid w:val="00F41048"/>
    <w:rsid w:val="00F50369"/>
    <w:rsid w:val="00F63A14"/>
    <w:rsid w:val="00F93314"/>
    <w:rsid w:val="00FB0EAB"/>
    <w:rsid w:val="00FC50A5"/>
    <w:rsid w:val="00FD181F"/>
    <w:rsid w:val="00FD4DAA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241E3F-E9F8-427D-84D2-DC3C9A6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9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29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29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A2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A29A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A2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A29A1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21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andedkar@howard.edu" TargetMode="External"/><Relationship Id="rId2" Type="http://schemas.openxmlformats.org/officeDocument/2006/relationships/hyperlink" Target="mailto:anandedkar@howard.edu" TargetMode="External"/><Relationship Id="rId1" Type="http://schemas.openxmlformats.org/officeDocument/2006/relationships/hyperlink" Target="mailto:anandedkar@how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4642-2DEA-4C59-9C21-31761CCD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Links>
    <vt:vector size="18" baseType="variant">
      <vt:variant>
        <vt:i4>3735569</vt:i4>
      </vt:variant>
      <vt:variant>
        <vt:i4>9</vt:i4>
      </vt:variant>
      <vt:variant>
        <vt:i4>0</vt:i4>
      </vt:variant>
      <vt:variant>
        <vt:i4>5</vt:i4>
      </vt:variant>
      <vt:variant>
        <vt:lpwstr>mailto:anandedkar@howard.edu</vt:lpwstr>
      </vt:variant>
      <vt:variant>
        <vt:lpwstr/>
      </vt:variant>
      <vt:variant>
        <vt:i4>3735569</vt:i4>
      </vt:variant>
      <vt:variant>
        <vt:i4>6</vt:i4>
      </vt:variant>
      <vt:variant>
        <vt:i4>0</vt:i4>
      </vt:variant>
      <vt:variant>
        <vt:i4>5</vt:i4>
      </vt:variant>
      <vt:variant>
        <vt:lpwstr>mailto:anandedkar@howard.edu</vt:lpwstr>
      </vt:variant>
      <vt:variant>
        <vt:lpwstr/>
      </vt:variant>
      <vt:variant>
        <vt:i4>3735569</vt:i4>
      </vt:variant>
      <vt:variant>
        <vt:i4>3</vt:i4>
      </vt:variant>
      <vt:variant>
        <vt:i4>0</vt:i4>
      </vt:variant>
      <vt:variant>
        <vt:i4>5</vt:i4>
      </vt:variant>
      <vt:variant>
        <vt:lpwstr>mailto:anandedkar@howard.edu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</dc:creator>
  <cp:keywords/>
  <cp:lastModifiedBy>Mahmood, Mohammad Fahad</cp:lastModifiedBy>
  <cp:revision>2</cp:revision>
  <cp:lastPrinted>2010-07-20T21:08:00Z</cp:lastPrinted>
  <dcterms:created xsi:type="dcterms:W3CDTF">2016-03-10T22:24:00Z</dcterms:created>
  <dcterms:modified xsi:type="dcterms:W3CDTF">2016-03-10T22:24:00Z</dcterms:modified>
</cp:coreProperties>
</file>